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FFB" w:rsidRDefault="00167FFB" w:rsidP="00167FFB">
      <w:pPr>
        <w:tabs>
          <w:tab w:val="left" w:pos="6660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ELŐZETES HATÁSVIZSGÁLATI LAP</w:t>
      </w:r>
    </w:p>
    <w:p w:rsidR="00167FFB" w:rsidRDefault="00167FFB" w:rsidP="00167FFB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Dunakeszi Város Önkormányzat Képviselő-testületének 1/2013. (II.06.) </w:t>
      </w:r>
      <w:r w:rsidRPr="00CF5418">
        <w:rPr>
          <w:rFonts w:asciiTheme="minorHAnsi" w:hAnsiTheme="minorHAnsi" w:cstheme="minorHAnsi"/>
          <w:b/>
          <w:sz w:val="22"/>
          <w:szCs w:val="22"/>
        </w:rPr>
        <w:t>rendelete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167FFB" w:rsidRDefault="00167FFB" w:rsidP="00167FFB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193161"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 w:rsidRPr="00193161">
        <w:rPr>
          <w:rFonts w:asciiTheme="minorHAnsi" w:hAnsiTheme="minorHAnsi" w:cstheme="minorHAnsi"/>
          <w:b/>
          <w:sz w:val="22"/>
          <w:szCs w:val="22"/>
        </w:rPr>
        <w:t xml:space="preserve"> képviselő-testület és szervei Szervezeti és Működési Szabályzatáról</w:t>
      </w:r>
    </w:p>
    <w:p w:rsidR="00167FFB" w:rsidRPr="00193161" w:rsidRDefault="00167FFB" w:rsidP="00167FFB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167FFB" w:rsidRDefault="00167FFB" w:rsidP="00167FFB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(A jogalkotásról szóló 2010. évi CXXX. törvény 17.§-</w:t>
      </w:r>
      <w:proofErr w:type="gramStart"/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alapján)</w:t>
      </w:r>
    </w:p>
    <w:p w:rsidR="00167FFB" w:rsidRDefault="00167FFB" w:rsidP="00167FFB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167FFB" w:rsidRDefault="00167FFB" w:rsidP="00167FF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167FFB" w:rsidRDefault="00167FFB" w:rsidP="00167FF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1. Társadalmi hatások</w:t>
      </w:r>
    </w:p>
    <w:p w:rsidR="00167FFB" w:rsidRDefault="00167FFB" w:rsidP="00167FF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Társadalmi hatásokat nem von maga után.</w:t>
      </w:r>
    </w:p>
    <w:p w:rsidR="00167FFB" w:rsidRDefault="00167FFB" w:rsidP="00167FF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2. Gazdasági, költségvetési hatások </w:t>
      </w:r>
    </w:p>
    <w:p w:rsidR="00167FFB" w:rsidRDefault="00167FFB" w:rsidP="00167FFB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Gazdasági, költségvetési hatásokat nem von maga után. </w:t>
      </w:r>
    </w:p>
    <w:p w:rsidR="00167FFB" w:rsidRDefault="00167FFB" w:rsidP="00167FF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 Környezeti hatások</w:t>
      </w:r>
    </w:p>
    <w:p w:rsidR="00167FFB" w:rsidRDefault="00167FFB" w:rsidP="00167FFB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Környezeti hatásokat nem von maga után.</w:t>
      </w:r>
    </w:p>
    <w:p w:rsidR="00167FFB" w:rsidRDefault="00167FFB" w:rsidP="00167FF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4. Egészségi követelmények</w:t>
      </w:r>
    </w:p>
    <w:p w:rsidR="00167FFB" w:rsidRDefault="00167FFB" w:rsidP="00167FFB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Egészségügyi követelmények nincsenek.</w:t>
      </w:r>
    </w:p>
    <w:p w:rsidR="00167FFB" w:rsidRDefault="00167FFB" w:rsidP="00167FF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5. Adminisztratív terheket befolyásoló hatások</w:t>
      </w:r>
    </w:p>
    <w:p w:rsidR="00167FFB" w:rsidRDefault="00167FFB" w:rsidP="00167FFB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Az eddigieken túl újabb </w:t>
      </w:r>
      <w:proofErr w:type="gramStart"/>
      <w:r>
        <w:rPr>
          <w:rFonts w:asciiTheme="minorHAnsi" w:hAnsiTheme="minorHAnsi" w:cstheme="minorHAnsi"/>
          <w:sz w:val="22"/>
          <w:szCs w:val="22"/>
        </w:rPr>
        <w:t>adminisztrációs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terheket nem von maga után.</w:t>
      </w:r>
    </w:p>
    <w:p w:rsidR="00167FFB" w:rsidRDefault="00167FFB" w:rsidP="00167FF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smartTag w:uri="urn:schemas-microsoft-com:office:smarttags" w:element="metricconverter">
        <w:smartTagPr>
          <w:attr w:name="ProductID" w:val="6. A"/>
        </w:smartTagPr>
        <w:r>
          <w:rPr>
            <w:rFonts w:asciiTheme="minorHAnsi" w:hAnsiTheme="minorHAnsi" w:cstheme="minorHAnsi"/>
            <w:b/>
            <w:sz w:val="22"/>
            <w:szCs w:val="22"/>
          </w:rPr>
          <w:t>6. A</w:t>
        </w:r>
      </w:smartTag>
      <w:r>
        <w:rPr>
          <w:rFonts w:asciiTheme="minorHAnsi" w:hAnsiTheme="minorHAnsi" w:cstheme="minorHAnsi"/>
          <w:b/>
          <w:sz w:val="22"/>
          <w:szCs w:val="22"/>
        </w:rPr>
        <w:t xml:space="preserve"> jogszabály megalkotásának szükségessége, a jogalkotás elmaradásának várható következményei</w:t>
      </w:r>
    </w:p>
    <w:p w:rsidR="00167FFB" w:rsidRDefault="00167FFB" w:rsidP="00167FF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Magyarország helyi önkormányzatairól szóló 2011. évi CLXXXIX. törvény (továbbiakban: </w:t>
      </w:r>
      <w:proofErr w:type="spellStart"/>
      <w:r>
        <w:rPr>
          <w:rFonts w:asciiTheme="minorHAnsi" w:hAnsiTheme="minorHAnsi" w:cstheme="minorHAnsi"/>
          <w:sz w:val="22"/>
          <w:szCs w:val="22"/>
        </w:rPr>
        <w:t>Mötv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.) 132. § (1) bekezdés a) pontjában a kormányhivatal számára biztosított törvényességi felügyeleti jogkörében eljárva, az </w:t>
      </w:r>
      <w:proofErr w:type="spellStart"/>
      <w:r>
        <w:rPr>
          <w:rFonts w:asciiTheme="minorHAnsi" w:hAnsiTheme="minorHAnsi" w:cstheme="minorHAnsi"/>
          <w:sz w:val="22"/>
          <w:szCs w:val="22"/>
        </w:rPr>
        <w:t>Mötv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132. § (3) bekezdés b) pontja alapján a Pest Vármegyei Kormányhivatal megvizsgálta, hogy a Dunakeszi Város Önkormányzat Képviselő-testülete Szervezeti és Működési Szabályzatáról szóló 1/2013. (II. 06.) önkormányzati rendeletében (továbbiakban: Rendelet) foglaltak megfelelnek-e a jogszabályoknak. Vizsgálata alapján törvényességi felhívással élt, melynek értelmében szükségessé vált a Rendelet </w:t>
      </w:r>
    </w:p>
    <w:p w:rsidR="00167FFB" w:rsidRPr="00F57B09" w:rsidRDefault="00167FFB" w:rsidP="00167FFB">
      <w:pPr>
        <w:numPr>
          <w:ilvl w:val="0"/>
          <w:numId w:val="1"/>
        </w:numPr>
        <w:suppressAutoHyphens/>
        <w:autoSpaceDN w:val="0"/>
        <w:spacing w:after="160" w:line="251" w:lineRule="auto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57B09">
        <w:rPr>
          <w:rFonts w:asciiTheme="minorHAnsi" w:hAnsiTheme="minorHAnsi" w:cstheme="minorHAnsi"/>
          <w:sz w:val="22"/>
          <w:szCs w:val="22"/>
        </w:rPr>
        <w:t xml:space="preserve">34. § (7) bekezdése, </w:t>
      </w:r>
    </w:p>
    <w:p w:rsidR="00167FFB" w:rsidRPr="00F57B09" w:rsidRDefault="00167FFB" w:rsidP="00167FFB">
      <w:pPr>
        <w:numPr>
          <w:ilvl w:val="0"/>
          <w:numId w:val="1"/>
        </w:numPr>
        <w:suppressAutoHyphens/>
        <w:autoSpaceDN w:val="0"/>
        <w:spacing w:after="160" w:line="251" w:lineRule="auto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57B09">
        <w:rPr>
          <w:rFonts w:asciiTheme="minorHAnsi" w:hAnsiTheme="minorHAnsi" w:cstheme="minorHAnsi"/>
          <w:sz w:val="22"/>
          <w:szCs w:val="22"/>
        </w:rPr>
        <w:t>66. § -a valamint</w:t>
      </w:r>
    </w:p>
    <w:p w:rsidR="00167FFB" w:rsidRPr="00F57B09" w:rsidRDefault="00167FFB" w:rsidP="00167FFB">
      <w:pPr>
        <w:numPr>
          <w:ilvl w:val="0"/>
          <w:numId w:val="1"/>
        </w:numPr>
        <w:suppressAutoHyphens/>
        <w:autoSpaceDN w:val="0"/>
        <w:spacing w:after="160" w:line="251" w:lineRule="auto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57B09">
        <w:rPr>
          <w:rFonts w:asciiTheme="minorHAnsi" w:hAnsiTheme="minorHAnsi" w:cstheme="minorHAnsi"/>
          <w:sz w:val="22"/>
          <w:szCs w:val="22"/>
        </w:rPr>
        <w:t>75. § (5) bekez</w:t>
      </w:r>
      <w:r>
        <w:rPr>
          <w:rFonts w:asciiTheme="minorHAnsi" w:hAnsiTheme="minorHAnsi" w:cstheme="minorHAnsi"/>
          <w:sz w:val="22"/>
          <w:szCs w:val="22"/>
        </w:rPr>
        <w:t>dése hatályon kívül helyezése</w:t>
      </w:r>
    </w:p>
    <w:p w:rsidR="00167FFB" w:rsidRPr="00F57B09" w:rsidRDefault="00167FFB" w:rsidP="00167FFB">
      <w:pPr>
        <w:numPr>
          <w:ilvl w:val="0"/>
          <w:numId w:val="1"/>
        </w:numPr>
        <w:suppressAutoHyphens/>
        <w:autoSpaceDN w:val="0"/>
        <w:spacing w:after="160" w:line="251" w:lineRule="auto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57B09">
        <w:rPr>
          <w:rFonts w:asciiTheme="minorHAnsi" w:hAnsiTheme="minorHAnsi" w:cstheme="minorHAnsi"/>
          <w:sz w:val="22"/>
          <w:szCs w:val="22"/>
        </w:rPr>
        <w:t>az SZMSZ bevezető részének 1.) pont szerinti, 41. § (2) bekezdése hatályos jo</w:t>
      </w:r>
      <w:r>
        <w:rPr>
          <w:rFonts w:asciiTheme="minorHAnsi" w:hAnsiTheme="minorHAnsi" w:cstheme="minorHAnsi"/>
          <w:sz w:val="22"/>
          <w:szCs w:val="22"/>
        </w:rPr>
        <w:t>gszabály feltüntetése</w:t>
      </w:r>
      <w:r w:rsidRPr="00F57B09">
        <w:rPr>
          <w:rFonts w:asciiTheme="minorHAnsi" w:hAnsiTheme="minorHAnsi" w:cstheme="minorHAnsi"/>
          <w:sz w:val="22"/>
          <w:szCs w:val="22"/>
        </w:rPr>
        <w:t xml:space="preserve">, </w:t>
      </w:r>
    </w:p>
    <w:p w:rsidR="00167FFB" w:rsidRPr="00F57B09" w:rsidRDefault="00167FFB" w:rsidP="00167FFB">
      <w:pPr>
        <w:numPr>
          <w:ilvl w:val="0"/>
          <w:numId w:val="1"/>
        </w:numPr>
        <w:suppressAutoHyphens/>
        <w:autoSpaceDN w:val="0"/>
        <w:spacing w:after="160" w:line="251" w:lineRule="auto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57B09">
        <w:rPr>
          <w:rFonts w:asciiTheme="minorHAnsi" w:hAnsiTheme="minorHAnsi" w:cstheme="minorHAnsi"/>
          <w:sz w:val="22"/>
          <w:szCs w:val="22"/>
        </w:rPr>
        <w:t>44. § (3) bekezdésének</w:t>
      </w:r>
      <w:r>
        <w:rPr>
          <w:rFonts w:asciiTheme="minorHAnsi" w:hAnsiTheme="minorHAnsi" w:cstheme="minorHAnsi"/>
          <w:sz w:val="22"/>
          <w:szCs w:val="22"/>
        </w:rPr>
        <w:t xml:space="preserve"> 4.) pont szerinti módosítása</w:t>
      </w:r>
      <w:r w:rsidRPr="00F57B09">
        <w:rPr>
          <w:rFonts w:asciiTheme="minorHAnsi" w:hAnsiTheme="minorHAnsi" w:cstheme="minorHAnsi"/>
          <w:sz w:val="22"/>
          <w:szCs w:val="22"/>
        </w:rPr>
        <w:t xml:space="preserve"> valamint </w:t>
      </w:r>
    </w:p>
    <w:p w:rsidR="00167FFB" w:rsidRPr="00F57B09" w:rsidRDefault="00167FFB" w:rsidP="00167FFB">
      <w:pPr>
        <w:numPr>
          <w:ilvl w:val="0"/>
          <w:numId w:val="1"/>
        </w:numPr>
        <w:suppressAutoHyphens/>
        <w:autoSpaceDN w:val="0"/>
        <w:spacing w:after="160" w:line="251" w:lineRule="auto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57B09">
        <w:rPr>
          <w:rFonts w:asciiTheme="minorHAnsi" w:hAnsiTheme="minorHAnsi" w:cstheme="minorHAnsi"/>
          <w:sz w:val="22"/>
          <w:szCs w:val="22"/>
        </w:rPr>
        <w:t>az SZMSZ 7</w:t>
      </w:r>
      <w:r>
        <w:rPr>
          <w:rFonts w:asciiTheme="minorHAnsi" w:hAnsiTheme="minorHAnsi" w:cstheme="minorHAnsi"/>
          <w:sz w:val="22"/>
          <w:szCs w:val="22"/>
        </w:rPr>
        <w:t xml:space="preserve">.) pont szerinti kiegészítése. </w:t>
      </w:r>
    </w:p>
    <w:p w:rsidR="00167FFB" w:rsidRDefault="00167FFB" w:rsidP="00167FF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167FFB" w:rsidRDefault="00167FFB" w:rsidP="00167FFB">
      <w:pPr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167FFB" w:rsidRDefault="00167FFB" w:rsidP="00167FFB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7. A jogszabály alkalmazásához szükséges személyi, szervezeti, tárgyi és pénzügyi feltételek</w:t>
      </w:r>
    </w:p>
    <w:p w:rsidR="00167FFB" w:rsidRDefault="00167FFB" w:rsidP="00167FF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167FFB" w:rsidRDefault="00167FFB" w:rsidP="00167FFB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Rendelkezésre állnak.</w:t>
      </w:r>
    </w:p>
    <w:p w:rsidR="00167FFB" w:rsidRDefault="00167FFB" w:rsidP="00167FFB">
      <w:pPr>
        <w:rPr>
          <w:rFonts w:asciiTheme="minorHAnsi" w:hAnsiTheme="minorHAnsi" w:cstheme="minorHAnsi"/>
          <w:b/>
          <w:sz w:val="22"/>
          <w:szCs w:val="22"/>
        </w:rPr>
      </w:pPr>
    </w:p>
    <w:p w:rsidR="00167FFB" w:rsidRDefault="00167FFB" w:rsidP="00167FFB">
      <w:pPr>
        <w:rPr>
          <w:rFonts w:asciiTheme="minorHAnsi" w:hAnsiTheme="minorHAnsi" w:cstheme="minorHAnsi"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2026. január 20.</w:t>
      </w:r>
    </w:p>
    <w:p w:rsidR="00167FFB" w:rsidRDefault="00167FFB" w:rsidP="00167FFB"/>
    <w:p w:rsidR="006D3EA5" w:rsidRDefault="00167FFB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C73FD"/>
    <w:multiLevelType w:val="hybridMultilevel"/>
    <w:tmpl w:val="2708C03C"/>
    <w:lvl w:ilvl="0" w:tplc="3822BF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FB"/>
    <w:rsid w:val="00046F8B"/>
    <w:rsid w:val="00167FFB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8806B-C132-4752-97B5-E10E97711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67FF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167FFB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167FFB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2026-01-22T14:22:00Z</dcterms:created>
  <dcterms:modified xsi:type="dcterms:W3CDTF">2026-01-22T14:22:00Z</dcterms:modified>
</cp:coreProperties>
</file>